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DF" w:rsidRDefault="008814DF" w:rsidP="008814DF">
      <w:r>
        <w:rPr>
          <w:noProof/>
        </w:rPr>
        <w:drawing>
          <wp:anchor distT="0" distB="0" distL="114300" distR="114300" simplePos="0" relativeHeight="251661312" behindDoc="1" locked="0" layoutInCell="1" allowOverlap="1" wp14:anchorId="4F242FB1" wp14:editId="3A467337">
            <wp:simplePos x="0" y="0"/>
            <wp:positionH relativeFrom="column">
              <wp:posOffset>2705100</wp:posOffset>
            </wp:positionH>
            <wp:positionV relativeFrom="paragraph">
              <wp:posOffset>-86691</wp:posOffset>
            </wp:positionV>
            <wp:extent cx="707666" cy="803082"/>
            <wp:effectExtent l="0" t="0" r="0" b="0"/>
            <wp:wrapNone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666" cy="803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814DF" w:rsidRDefault="008814DF" w:rsidP="008814DF"/>
    <w:p w:rsidR="008814DF" w:rsidRPr="00437A94" w:rsidRDefault="000B1DBF" w:rsidP="008814DF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Times New Roman"/>
          <w:i/>
          <w:sz w:val="72"/>
          <w:szCs w:val="72"/>
        </w:rPr>
      </w:pPr>
      <w:r>
        <w:rPr>
          <w:rFonts w:ascii="Palace Script MT" w:eastAsia="Times New Roman" w:hAnsi="Palace Script MT" w:cs="Times New Roman"/>
          <w:i/>
          <w:sz w:val="72"/>
          <w:szCs w:val="72"/>
        </w:rPr>
        <w:t>Ministero dell’</w:t>
      </w:r>
      <w:r w:rsidR="008814DF" w:rsidRPr="00437A94">
        <w:rPr>
          <w:rFonts w:ascii="Palace Script MT" w:eastAsia="Times New Roman" w:hAnsi="Palace Script MT" w:cs="Times New Roman"/>
          <w:i/>
          <w:sz w:val="72"/>
          <w:szCs w:val="72"/>
        </w:rPr>
        <w:t>Istruzione, dell</w:t>
      </w:r>
      <w:r>
        <w:rPr>
          <w:rFonts w:ascii="Palace Script MT" w:eastAsia="Times New Roman" w:hAnsi="Palace Script MT" w:cs="Times New Roman"/>
          <w:i/>
          <w:sz w:val="72"/>
          <w:szCs w:val="72"/>
        </w:rPr>
        <w:t>’ Università</w:t>
      </w:r>
      <w:r w:rsidR="008814DF" w:rsidRPr="00437A94">
        <w:rPr>
          <w:rFonts w:ascii="Palace Script MT" w:eastAsia="Times New Roman" w:hAnsi="Palace Script MT" w:cs="Times New Roman"/>
          <w:i/>
          <w:sz w:val="72"/>
          <w:szCs w:val="72"/>
        </w:rPr>
        <w:t xml:space="preserve"> e della Ricerca</w:t>
      </w:r>
    </w:p>
    <w:p w:rsidR="008814DF" w:rsidRPr="00437A94" w:rsidRDefault="008814DF" w:rsidP="008814DF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Times New Roman"/>
          <w:i/>
          <w:sz w:val="48"/>
          <w:szCs w:val="48"/>
        </w:rPr>
      </w:pPr>
      <w:r w:rsidRPr="00437A94">
        <w:rPr>
          <w:rFonts w:ascii="Palace Script MT" w:eastAsia="Times New Roman" w:hAnsi="Palace Script MT" w:cs="Times New Roman"/>
          <w:i/>
          <w:sz w:val="48"/>
          <w:szCs w:val="48"/>
        </w:rPr>
        <w:t>Dipartimento per il sistema educativo di istruzione e di formazione</w:t>
      </w:r>
    </w:p>
    <w:p w:rsidR="008814DF" w:rsidRPr="00437A94" w:rsidRDefault="008814DF" w:rsidP="008814DF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Arial"/>
          <w:i/>
          <w:sz w:val="40"/>
          <w:szCs w:val="40"/>
        </w:rPr>
      </w:pPr>
      <w:r w:rsidRPr="0069047C">
        <w:rPr>
          <w:rFonts w:ascii="Palace Script MT" w:eastAsia="Times New Roman" w:hAnsi="Palace Script MT" w:cs="Arial"/>
          <w:i/>
          <w:sz w:val="40"/>
          <w:szCs w:val="40"/>
        </w:rPr>
        <w:t>Direzione Generale per gli Ordinamenti scolastici e la Valutazione del Sistema Nazionale di Istruzione</w:t>
      </w:r>
    </w:p>
    <w:p w:rsidR="0037571E" w:rsidRDefault="008814DF" w:rsidP="0037571E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Arial"/>
          <w:i/>
          <w:sz w:val="48"/>
          <w:szCs w:val="48"/>
        </w:rPr>
      </w:pPr>
      <w:r w:rsidRPr="009D74F3">
        <w:rPr>
          <w:rFonts w:ascii="Palace Script MT" w:eastAsia="Times New Roman" w:hAnsi="Palace Script MT" w:cs="Arial"/>
          <w:i/>
          <w:sz w:val="48"/>
          <w:szCs w:val="48"/>
        </w:rPr>
        <w:t xml:space="preserve">Struttura Tecnica </w:t>
      </w:r>
      <w:r w:rsidR="001F6A35">
        <w:rPr>
          <w:rFonts w:ascii="Palace Script MT" w:eastAsia="Times New Roman" w:hAnsi="Palace Script MT" w:cs="Arial"/>
          <w:i/>
          <w:sz w:val="48"/>
          <w:szCs w:val="48"/>
        </w:rPr>
        <w:t>Esame di Stat</w:t>
      </w:r>
      <w:r w:rsidR="00716C91">
        <w:rPr>
          <w:rFonts w:ascii="Palace Script MT" w:eastAsia="Times New Roman" w:hAnsi="Palace Script MT" w:cs="Arial"/>
          <w:i/>
          <w:sz w:val="48"/>
          <w:szCs w:val="48"/>
        </w:rPr>
        <w:t>o</w:t>
      </w:r>
    </w:p>
    <w:p w:rsidR="0037571E" w:rsidRDefault="0037571E" w:rsidP="0037571E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Arial"/>
          <w:i/>
          <w:sz w:val="48"/>
          <w:szCs w:val="48"/>
        </w:rPr>
      </w:pPr>
    </w:p>
    <w:p w:rsidR="00BB0569" w:rsidRDefault="00BB0569" w:rsidP="0037571E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Arial"/>
          <w:i/>
          <w:sz w:val="48"/>
          <w:szCs w:val="48"/>
        </w:rPr>
      </w:pPr>
    </w:p>
    <w:p w:rsidR="00BB0569" w:rsidRPr="0037571E" w:rsidRDefault="00BB0569" w:rsidP="0037571E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Arial"/>
          <w:i/>
          <w:sz w:val="48"/>
          <w:szCs w:val="48"/>
        </w:rPr>
      </w:pPr>
    </w:p>
    <w:p w:rsidR="00AF31B9" w:rsidRPr="00215049" w:rsidRDefault="001F5F17" w:rsidP="00215049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Roma,  12 gennaio</w:t>
      </w:r>
      <w:r w:rsidR="00B77CB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2017</w:t>
      </w:r>
    </w:p>
    <w:p w:rsidR="0037571E" w:rsidRDefault="0037571E" w:rsidP="00450848">
      <w:pPr>
        <w:overflowPunct w:val="0"/>
        <w:autoSpaceDE w:val="0"/>
        <w:autoSpaceDN w:val="0"/>
        <w:adjustRightInd w:val="0"/>
        <w:spacing w:after="0" w:line="240" w:lineRule="auto"/>
        <w:ind w:left="851" w:right="113" w:hanging="851"/>
        <w:jc w:val="both"/>
        <w:textAlignment w:val="baseline"/>
        <w:rPr>
          <w:rFonts w:eastAsia="Arial Unicode MS" w:cs="Times New Roman"/>
          <w:sz w:val="24"/>
          <w:szCs w:val="24"/>
        </w:rPr>
      </w:pPr>
    </w:p>
    <w:p w:rsidR="00BB0569" w:rsidRDefault="00BB0569" w:rsidP="00450848">
      <w:pPr>
        <w:overflowPunct w:val="0"/>
        <w:autoSpaceDE w:val="0"/>
        <w:autoSpaceDN w:val="0"/>
        <w:adjustRightInd w:val="0"/>
        <w:spacing w:after="0" w:line="240" w:lineRule="auto"/>
        <w:ind w:left="851" w:right="113" w:hanging="851"/>
        <w:jc w:val="both"/>
        <w:textAlignment w:val="baseline"/>
        <w:rPr>
          <w:rFonts w:eastAsia="Arial Unicode MS" w:cs="Times New Roman"/>
          <w:sz w:val="24"/>
          <w:szCs w:val="24"/>
        </w:rPr>
      </w:pPr>
    </w:p>
    <w:p w:rsidR="00BB0569" w:rsidRDefault="00BB0569" w:rsidP="00450848">
      <w:pPr>
        <w:overflowPunct w:val="0"/>
        <w:autoSpaceDE w:val="0"/>
        <w:autoSpaceDN w:val="0"/>
        <w:adjustRightInd w:val="0"/>
        <w:spacing w:after="0" w:line="240" w:lineRule="auto"/>
        <w:ind w:left="851" w:right="113" w:hanging="851"/>
        <w:jc w:val="both"/>
        <w:textAlignment w:val="baseline"/>
        <w:rPr>
          <w:rFonts w:eastAsia="Arial Unicode MS" w:cs="Times New Roman"/>
          <w:sz w:val="24"/>
          <w:szCs w:val="24"/>
        </w:rPr>
      </w:pPr>
    </w:p>
    <w:p w:rsidR="00BB0569" w:rsidRDefault="00BB0569" w:rsidP="00450848">
      <w:pPr>
        <w:overflowPunct w:val="0"/>
        <w:autoSpaceDE w:val="0"/>
        <w:autoSpaceDN w:val="0"/>
        <w:adjustRightInd w:val="0"/>
        <w:spacing w:after="0" w:line="240" w:lineRule="auto"/>
        <w:ind w:left="851" w:right="113" w:hanging="851"/>
        <w:jc w:val="both"/>
        <w:textAlignment w:val="baseline"/>
        <w:rPr>
          <w:rFonts w:eastAsia="Arial Unicode MS" w:cs="Times New Roman"/>
          <w:sz w:val="24"/>
          <w:szCs w:val="24"/>
        </w:rPr>
      </w:pPr>
    </w:p>
    <w:p w:rsidR="00BB0569" w:rsidRDefault="00BB0569" w:rsidP="00450848">
      <w:pPr>
        <w:overflowPunct w:val="0"/>
        <w:autoSpaceDE w:val="0"/>
        <w:autoSpaceDN w:val="0"/>
        <w:adjustRightInd w:val="0"/>
        <w:spacing w:after="0" w:line="240" w:lineRule="auto"/>
        <w:ind w:left="851" w:right="113" w:hanging="851"/>
        <w:jc w:val="both"/>
        <w:textAlignment w:val="baseline"/>
        <w:rPr>
          <w:rFonts w:eastAsia="Arial Unicode MS" w:cs="Times New Roman"/>
          <w:sz w:val="24"/>
          <w:szCs w:val="24"/>
        </w:rPr>
      </w:pPr>
    </w:p>
    <w:p w:rsidR="00E035CC" w:rsidRDefault="00E035CC" w:rsidP="00450848">
      <w:pPr>
        <w:overflowPunct w:val="0"/>
        <w:autoSpaceDE w:val="0"/>
        <w:autoSpaceDN w:val="0"/>
        <w:adjustRightInd w:val="0"/>
        <w:spacing w:after="0" w:line="240" w:lineRule="auto"/>
        <w:ind w:left="851" w:right="113" w:hanging="851"/>
        <w:jc w:val="both"/>
        <w:textAlignment w:val="baseline"/>
        <w:rPr>
          <w:rFonts w:eastAsia="Arial Unicode MS" w:cs="Times New Roman"/>
          <w:sz w:val="24"/>
          <w:szCs w:val="24"/>
        </w:rPr>
      </w:pPr>
      <w:r w:rsidRPr="0069047C">
        <w:rPr>
          <w:rFonts w:eastAsia="Arial Unicode MS" w:cs="Times New Roman"/>
          <w:sz w:val="24"/>
          <w:szCs w:val="24"/>
        </w:rPr>
        <w:t>Oggetto:</w:t>
      </w:r>
      <w:r w:rsidRPr="0069047C">
        <w:rPr>
          <w:rFonts w:eastAsia="Times New Roman" w:cs="Times New Roman"/>
          <w:sz w:val="24"/>
          <w:szCs w:val="24"/>
        </w:rPr>
        <w:t xml:space="preserve"> </w:t>
      </w:r>
      <w:r w:rsidR="001F5F17">
        <w:rPr>
          <w:rFonts w:eastAsia="Times New Roman" w:cs="Times New Roman"/>
          <w:sz w:val="24"/>
          <w:szCs w:val="24"/>
        </w:rPr>
        <w:t>Ulteriore p</w:t>
      </w:r>
      <w:r w:rsidR="00B77CB8">
        <w:rPr>
          <w:rFonts w:eastAsia="Times New Roman" w:cs="Times New Roman"/>
          <w:sz w:val="24"/>
          <w:szCs w:val="24"/>
        </w:rPr>
        <w:t>ubblicazione</w:t>
      </w:r>
      <w:r w:rsidR="002F6C07">
        <w:rPr>
          <w:rFonts w:eastAsia="Times New Roman" w:cs="Times New Roman"/>
          <w:sz w:val="24"/>
          <w:szCs w:val="24"/>
        </w:rPr>
        <w:t xml:space="preserve"> esempi di II </w:t>
      </w:r>
      <w:r w:rsidR="00456CF0">
        <w:rPr>
          <w:rFonts w:eastAsia="Times New Roman" w:cs="Times New Roman"/>
          <w:sz w:val="24"/>
          <w:szCs w:val="24"/>
        </w:rPr>
        <w:t xml:space="preserve">prova </w:t>
      </w:r>
      <w:r w:rsidR="00B77CB8">
        <w:rPr>
          <w:rFonts w:eastAsia="Times New Roman" w:cs="Times New Roman"/>
          <w:sz w:val="24"/>
          <w:szCs w:val="24"/>
        </w:rPr>
        <w:t>scritta Esame di Stato 2016-17</w:t>
      </w:r>
      <w:r w:rsidR="00E35B79">
        <w:rPr>
          <w:rFonts w:eastAsia="Arial Unicode MS" w:cs="Times New Roman"/>
          <w:sz w:val="24"/>
          <w:szCs w:val="24"/>
        </w:rPr>
        <w:t xml:space="preserve">. </w:t>
      </w:r>
    </w:p>
    <w:p w:rsidR="0037571E" w:rsidRDefault="0037571E" w:rsidP="00F66255">
      <w:pPr>
        <w:overflowPunct w:val="0"/>
        <w:autoSpaceDE w:val="0"/>
        <w:autoSpaceDN w:val="0"/>
        <w:adjustRightInd w:val="0"/>
        <w:spacing w:after="0" w:line="240" w:lineRule="auto"/>
        <w:ind w:right="113" w:firstLine="284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4563E9" w:rsidRDefault="004563E9" w:rsidP="00F66255">
      <w:pPr>
        <w:overflowPunct w:val="0"/>
        <w:autoSpaceDE w:val="0"/>
        <w:autoSpaceDN w:val="0"/>
        <w:adjustRightInd w:val="0"/>
        <w:spacing w:after="0" w:line="240" w:lineRule="auto"/>
        <w:ind w:right="113" w:firstLine="284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D16B8D" w:rsidRDefault="00D16B8D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8D254A" w:rsidRDefault="00D16B8D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>Per come già anticipato nella nota dello scrivente del 30 novembre 2016, prosegue</w:t>
      </w:r>
      <w:r w:rsidR="00F208FD">
        <w:rPr>
          <w:rFonts w:eastAsia="Arial Unicode MS" w:cs="Times New Roman"/>
          <w:sz w:val="24"/>
          <w:szCs w:val="24"/>
        </w:rPr>
        <w:t>, da parte di questa Struttura Tecnica Esame di Stato,</w:t>
      </w:r>
      <w:r w:rsidR="00EA4775">
        <w:rPr>
          <w:rFonts w:eastAsia="Arial Unicode MS" w:cs="Times New Roman"/>
          <w:sz w:val="24"/>
          <w:szCs w:val="24"/>
        </w:rPr>
        <w:t xml:space="preserve"> l’azione di accompagnamento</w:t>
      </w:r>
      <w:r w:rsidR="00F208FD">
        <w:rPr>
          <w:rFonts w:eastAsia="Arial Unicode MS" w:cs="Times New Roman"/>
          <w:sz w:val="24"/>
          <w:szCs w:val="24"/>
        </w:rPr>
        <w:t xml:space="preserve"> </w:t>
      </w:r>
      <w:r w:rsidR="00590F95">
        <w:rPr>
          <w:rFonts w:eastAsia="Arial Unicode MS" w:cs="Times New Roman"/>
          <w:sz w:val="24"/>
          <w:szCs w:val="24"/>
        </w:rPr>
        <w:t>ai nuovi O</w:t>
      </w:r>
      <w:r w:rsidR="00EA4775">
        <w:rPr>
          <w:rFonts w:eastAsia="Arial Unicode MS" w:cs="Times New Roman"/>
          <w:sz w:val="24"/>
          <w:szCs w:val="24"/>
        </w:rPr>
        <w:t>rdinamenti nelle Istituzioni scolastiche del II Ciclo,</w:t>
      </w:r>
      <w:r>
        <w:rPr>
          <w:rFonts w:eastAsia="Arial Unicode MS" w:cs="Times New Roman"/>
          <w:sz w:val="24"/>
          <w:szCs w:val="24"/>
        </w:rPr>
        <w:t xml:space="preserve"> con la pubblicazione di ulteriori esempi di prova</w:t>
      </w:r>
      <w:r w:rsidR="008D254A">
        <w:rPr>
          <w:rFonts w:eastAsia="Arial Unicode MS" w:cs="Times New Roman"/>
          <w:sz w:val="24"/>
          <w:szCs w:val="24"/>
        </w:rPr>
        <w:t xml:space="preserve"> scritta</w:t>
      </w:r>
      <w:r>
        <w:rPr>
          <w:rFonts w:eastAsia="Arial Unicode MS" w:cs="Times New Roman"/>
          <w:sz w:val="24"/>
          <w:szCs w:val="24"/>
        </w:rPr>
        <w:t xml:space="preserve"> delle materie caratterizzanti</w:t>
      </w:r>
      <w:r w:rsidR="008D254A">
        <w:rPr>
          <w:rFonts w:eastAsia="Arial Unicode MS" w:cs="Times New Roman"/>
          <w:sz w:val="24"/>
          <w:szCs w:val="24"/>
        </w:rPr>
        <w:t xml:space="preserve"> l’ultimo anno di corso</w:t>
      </w:r>
      <w:r w:rsidR="00BB0569">
        <w:rPr>
          <w:rFonts w:eastAsia="Arial Unicode MS" w:cs="Times New Roman"/>
          <w:sz w:val="24"/>
          <w:szCs w:val="24"/>
        </w:rPr>
        <w:t xml:space="preserve"> degli studi secondari superiori</w:t>
      </w:r>
      <w:r w:rsidR="008D254A">
        <w:rPr>
          <w:rFonts w:eastAsia="Arial Unicode MS" w:cs="Times New Roman"/>
          <w:sz w:val="24"/>
          <w:szCs w:val="24"/>
        </w:rPr>
        <w:t xml:space="preserve"> che possono essere oggetto di scelta da parte dell’On. Ministra per gli esami di Stato del II Ciclo. </w:t>
      </w:r>
    </w:p>
    <w:p w:rsidR="003D2906" w:rsidRDefault="008D254A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>Si ribadisce ulteriormente che l’obiettivo di accompagnamento prescinde dalle materie che effettivamente saranno scelte per l’esame di Stato 2016-2017. Con gli esempi di prova pubblicati il Ministero intend</w:t>
      </w:r>
      <w:r w:rsidR="00873E53">
        <w:rPr>
          <w:rFonts w:eastAsia="Arial Unicode MS" w:cs="Times New Roman"/>
          <w:sz w:val="24"/>
          <w:szCs w:val="24"/>
        </w:rPr>
        <w:t>e porre a disposizio</w:t>
      </w:r>
      <w:r w:rsidR="004563E9">
        <w:rPr>
          <w:rFonts w:eastAsia="Arial Unicode MS" w:cs="Times New Roman"/>
          <w:sz w:val="24"/>
          <w:szCs w:val="24"/>
        </w:rPr>
        <w:t>ne</w:t>
      </w:r>
      <w:r w:rsidR="00873E53">
        <w:rPr>
          <w:rFonts w:eastAsia="Arial Unicode MS" w:cs="Times New Roman"/>
          <w:sz w:val="24"/>
          <w:szCs w:val="24"/>
        </w:rPr>
        <w:t xml:space="preserve"> delle Scuole</w:t>
      </w:r>
      <w:r>
        <w:rPr>
          <w:rFonts w:eastAsia="Arial Unicode MS" w:cs="Times New Roman"/>
          <w:sz w:val="24"/>
          <w:szCs w:val="24"/>
        </w:rPr>
        <w:t xml:space="preserve"> </w:t>
      </w:r>
      <w:r w:rsidR="00CC7848">
        <w:rPr>
          <w:rFonts w:eastAsia="Arial Unicode MS" w:cs="Times New Roman"/>
          <w:sz w:val="24"/>
          <w:szCs w:val="24"/>
        </w:rPr>
        <w:t>materiali per le esercitazioni n</w:t>
      </w:r>
      <w:r>
        <w:rPr>
          <w:rFonts w:eastAsia="Arial Unicode MS" w:cs="Times New Roman"/>
          <w:sz w:val="24"/>
          <w:szCs w:val="24"/>
        </w:rPr>
        <w:t xml:space="preserve">elle varie materie caratterizzanti </w:t>
      </w:r>
      <w:r w:rsidR="00873E53">
        <w:rPr>
          <w:rFonts w:eastAsia="Arial Unicode MS" w:cs="Times New Roman"/>
          <w:sz w:val="24"/>
          <w:szCs w:val="24"/>
        </w:rPr>
        <w:t>comunque oggetto di studio nel corso dell’ultimo anno di scuola secondaria superiore nonché fornire utili orientamenti a studenti e docenti.</w:t>
      </w:r>
    </w:p>
    <w:p w:rsidR="00BB0569" w:rsidRDefault="00BB0569" w:rsidP="006D34BC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6D34BC" w:rsidRPr="006D34BC" w:rsidRDefault="006D34BC" w:rsidP="006D34BC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ascii="Calibri" w:eastAsia="Arial Unicode MS" w:hAnsi="Calibri" w:cs="Calibri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Per gli Istituti Professionali, </w:t>
      </w:r>
      <w:r w:rsidRPr="006D34BC">
        <w:rPr>
          <w:rFonts w:ascii="Calibri" w:eastAsia="Calibri" w:hAnsi="Calibri" w:cs="Calibri"/>
          <w:sz w:val="24"/>
          <w:szCs w:val="24"/>
        </w:rPr>
        <w:t xml:space="preserve">nelle Linee Guida per il passaggio </w:t>
      </w:r>
      <w:r>
        <w:rPr>
          <w:rFonts w:ascii="Calibri" w:eastAsia="Calibri" w:hAnsi="Calibri" w:cs="Calibri"/>
          <w:sz w:val="24"/>
          <w:szCs w:val="24"/>
        </w:rPr>
        <w:t xml:space="preserve">al Nuovo Ordinamento - </w:t>
      </w:r>
      <w:r w:rsidRPr="006D34BC">
        <w:rPr>
          <w:rFonts w:ascii="Calibri" w:eastAsia="Calibri" w:hAnsi="Calibri" w:cs="Calibri"/>
          <w:sz w:val="24"/>
          <w:szCs w:val="24"/>
        </w:rPr>
        <w:t>secondo biennio e quinto anno (D.P.R. 15 marzo 2010, n.</w:t>
      </w:r>
      <w:r w:rsidR="00CC7848">
        <w:rPr>
          <w:rFonts w:ascii="Calibri" w:eastAsia="Calibri" w:hAnsi="Calibri" w:cs="Calibri"/>
          <w:sz w:val="24"/>
          <w:szCs w:val="24"/>
        </w:rPr>
        <w:t xml:space="preserve"> </w:t>
      </w:r>
      <w:r w:rsidRPr="006D34BC">
        <w:rPr>
          <w:rFonts w:ascii="Calibri" w:eastAsia="Calibri" w:hAnsi="Calibri" w:cs="Calibri"/>
          <w:sz w:val="24"/>
          <w:szCs w:val="24"/>
        </w:rPr>
        <w:t>87, articolo 8, comma 6)</w:t>
      </w:r>
      <w:r w:rsidR="00CC7848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 w:rsidRPr="006D34BC">
        <w:rPr>
          <w:rFonts w:ascii="Calibri" w:eastAsia="Calibri" w:hAnsi="Calibri" w:cs="Calibri"/>
          <w:sz w:val="24"/>
          <w:szCs w:val="24"/>
        </w:rPr>
        <w:t xml:space="preserve"> si ribadisce, in più passaggi, che il percorso di formazione culturale e professionale dello studente è indirizzato al conseguimento di “risultati di apprendimento” declinati in un quadro di competenze, di conoscenze e di abilità.</w:t>
      </w:r>
    </w:p>
    <w:p w:rsidR="006D34BC" w:rsidRPr="006D34BC" w:rsidRDefault="006D34BC" w:rsidP="006D34BC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ascii="Calibri" w:eastAsia="Arial Unicode MS" w:hAnsi="Calibri" w:cs="Calibri"/>
          <w:sz w:val="24"/>
          <w:szCs w:val="24"/>
        </w:rPr>
      </w:pPr>
      <w:r w:rsidRPr="006D34BC">
        <w:rPr>
          <w:rFonts w:ascii="Calibri" w:eastAsia="Calibri" w:hAnsi="Calibri" w:cs="Calibri"/>
          <w:sz w:val="24"/>
          <w:szCs w:val="24"/>
        </w:rPr>
        <w:t>E’ rispetto ai risultati di apprendimento e alle competenze che il laboratorio “</w:t>
      </w:r>
      <w:r w:rsidRPr="006D34BC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assume una rilevanza maggiore </w:t>
      </w:r>
      <w:r w:rsidRPr="00BB0569">
        <w:rPr>
          <w:rFonts w:ascii="Calibri" w:eastAsia="Calibri" w:hAnsi="Calibri" w:cs="Calibri"/>
          <w:i/>
          <w:sz w:val="24"/>
          <w:szCs w:val="24"/>
          <w:lang w:eastAsia="en-US"/>
        </w:rPr>
        <w:t>sul piano metodologico</w:t>
      </w:r>
      <w:r w:rsidRPr="006D34BC">
        <w:rPr>
          <w:rFonts w:ascii="Calibri" w:eastAsia="Calibri" w:hAnsi="Calibri" w:cs="Calibri"/>
          <w:sz w:val="24"/>
          <w:szCs w:val="24"/>
          <w:lang w:eastAsia="en-US"/>
        </w:rPr>
        <w:t>”. Per questo le attività di laboratorio non sono funzionali solo all’</w:t>
      </w:r>
      <w:r w:rsidR="00BB0569">
        <w:rPr>
          <w:rFonts w:ascii="Calibri" w:eastAsia="Calibri" w:hAnsi="Calibri" w:cs="Calibri"/>
          <w:sz w:val="24"/>
          <w:szCs w:val="24"/>
          <w:lang w:eastAsia="en-US"/>
        </w:rPr>
        <w:t>acquisizione di abilità tecnico-</w:t>
      </w:r>
      <w:r w:rsidR="00CC7848">
        <w:rPr>
          <w:rFonts w:ascii="Calibri" w:eastAsia="Calibri" w:hAnsi="Calibri" w:cs="Calibri"/>
          <w:sz w:val="24"/>
          <w:szCs w:val="24"/>
          <w:lang w:eastAsia="en-US"/>
        </w:rPr>
        <w:t>manuali</w:t>
      </w:r>
      <w:r w:rsidRPr="006D34BC">
        <w:rPr>
          <w:rFonts w:ascii="Calibri" w:eastAsia="Calibri" w:hAnsi="Calibri" w:cs="Calibri"/>
          <w:sz w:val="24"/>
          <w:szCs w:val="24"/>
          <w:lang w:eastAsia="en-US"/>
        </w:rPr>
        <w:t xml:space="preserve"> ma sono “</w:t>
      </w:r>
      <w:r w:rsidRPr="00BB0569">
        <w:rPr>
          <w:rFonts w:ascii="Calibri" w:eastAsia="Calibri" w:hAnsi="Calibri" w:cs="Calibri"/>
          <w:i/>
          <w:sz w:val="24"/>
          <w:szCs w:val="24"/>
          <w:lang w:eastAsia="en-US"/>
        </w:rPr>
        <w:t>orientate alla pedagogia del progetto, alla effettiva progettazione e realizzazione di un prodotto</w:t>
      </w:r>
      <w:r w:rsidR="00BB0569">
        <w:rPr>
          <w:rFonts w:ascii="Calibri" w:eastAsia="Calibri" w:hAnsi="Calibri" w:cs="Calibri"/>
          <w:sz w:val="24"/>
          <w:szCs w:val="24"/>
          <w:lang w:eastAsia="en-US"/>
        </w:rPr>
        <w:t>”. Si comprende</w:t>
      </w:r>
      <w:r w:rsidRPr="006D34BC">
        <w:rPr>
          <w:rFonts w:ascii="Calibri" w:eastAsia="Calibri" w:hAnsi="Calibri" w:cs="Calibri"/>
          <w:sz w:val="24"/>
          <w:szCs w:val="24"/>
          <w:lang w:eastAsia="en-US"/>
        </w:rPr>
        <w:t xml:space="preserve"> così la centralità di una metodologia che ridefinisce e arricchisce l’elaborazione progettuale del professionista nei vari settori: </w:t>
      </w:r>
      <w:r w:rsidRPr="006D34BC">
        <w:rPr>
          <w:rFonts w:ascii="Calibri" w:eastAsia="Calibri" w:hAnsi="Calibri" w:cs="Calibri"/>
          <w:i/>
          <w:sz w:val="24"/>
          <w:szCs w:val="24"/>
          <w:lang w:eastAsia="en-US"/>
        </w:rPr>
        <w:t>“in questo modo si promuove la conoscenza di una metodologia di lavoro di grande rilievo sul piano dell’agire, la sensibilità verso di essa e la capacità di utilizzarla in vari contesti produttivi, favorendo così una maggiore connessione dell’esperienza scolastica con il mondo del lavoro e delle professioni</w:t>
      </w:r>
      <w:r w:rsidR="00BB0569">
        <w:rPr>
          <w:rFonts w:ascii="Calibri" w:eastAsia="Calibri" w:hAnsi="Calibri" w:cs="Calibri"/>
          <w:i/>
          <w:sz w:val="24"/>
          <w:szCs w:val="24"/>
          <w:lang w:eastAsia="en-US"/>
        </w:rPr>
        <w:t>”.</w:t>
      </w:r>
    </w:p>
    <w:p w:rsidR="00BB0569" w:rsidRDefault="00BB0569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ascii="Calibri" w:eastAsia="Arial Unicode MS" w:hAnsi="Calibri" w:cs="Calibri"/>
          <w:sz w:val="24"/>
          <w:szCs w:val="24"/>
        </w:rPr>
      </w:pPr>
    </w:p>
    <w:p w:rsidR="004563E9" w:rsidRDefault="004563E9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E35B79" w:rsidRDefault="00590295" w:rsidP="002F6C07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I nuovi esempi di </w:t>
      </w:r>
      <w:r w:rsidR="006F0A80">
        <w:rPr>
          <w:rFonts w:eastAsia="Arial Unicode MS" w:cs="Times New Roman"/>
          <w:sz w:val="24"/>
          <w:szCs w:val="24"/>
        </w:rPr>
        <w:t>seconda</w:t>
      </w:r>
      <w:r w:rsidR="00347E05">
        <w:rPr>
          <w:rFonts w:eastAsia="Arial Unicode MS" w:cs="Times New Roman"/>
          <w:sz w:val="24"/>
          <w:szCs w:val="24"/>
        </w:rPr>
        <w:t xml:space="preserve"> </w:t>
      </w:r>
      <w:r>
        <w:rPr>
          <w:rFonts w:eastAsia="Arial Unicode MS" w:cs="Times New Roman"/>
          <w:sz w:val="24"/>
          <w:szCs w:val="24"/>
        </w:rPr>
        <w:t>prova</w:t>
      </w:r>
      <w:r w:rsidR="00347E05">
        <w:rPr>
          <w:rFonts w:eastAsia="Arial Unicode MS" w:cs="Times New Roman"/>
          <w:sz w:val="24"/>
          <w:szCs w:val="24"/>
        </w:rPr>
        <w:t xml:space="preserve">  scritta</w:t>
      </w:r>
      <w:r w:rsidR="00E35B79">
        <w:rPr>
          <w:rFonts w:eastAsia="Arial Unicode MS" w:cs="Times New Roman"/>
          <w:sz w:val="24"/>
          <w:szCs w:val="24"/>
        </w:rPr>
        <w:t xml:space="preserve"> riguardano:</w:t>
      </w:r>
    </w:p>
    <w:p w:rsidR="00EF3870" w:rsidRDefault="00EF3870" w:rsidP="00381C81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</w:p>
    <w:p w:rsidR="00F27195" w:rsidRPr="00F27195" w:rsidRDefault="001F5F17" w:rsidP="00F27195">
      <w:pPr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eastAsia="Arial Unicode MS" w:cs="Times New Roman"/>
          <w:b/>
          <w:sz w:val="24"/>
          <w:szCs w:val="24"/>
        </w:rPr>
        <w:t>- Istruzione Professionale</w:t>
      </w:r>
      <w:r w:rsidR="006526D9" w:rsidRPr="007D7461">
        <w:rPr>
          <w:rFonts w:eastAsia="Arial Unicode MS" w:cs="Times New Roman"/>
          <w:b/>
          <w:sz w:val="24"/>
          <w:szCs w:val="24"/>
        </w:rPr>
        <w:t>:</w:t>
      </w:r>
      <w:r w:rsidR="00F27195">
        <w:rPr>
          <w:rFonts w:eastAsia="Arial Unicode MS" w:cs="Times New Roman"/>
          <w:b/>
          <w:sz w:val="24"/>
          <w:szCs w:val="24"/>
        </w:rPr>
        <w:t xml:space="preserve"> </w:t>
      </w:r>
      <w:r w:rsidR="00F27195" w:rsidRPr="00F27195">
        <w:rPr>
          <w:rFonts w:ascii="Arial" w:eastAsia="Calibri" w:hAnsi="Arial" w:cs="Arial"/>
          <w:lang w:eastAsia="en-US"/>
        </w:rPr>
        <w:t>Settore Servizi</w:t>
      </w:r>
    </w:p>
    <w:p w:rsidR="00F27195" w:rsidRDefault="00F27195" w:rsidP="00F27195">
      <w:pPr>
        <w:spacing w:after="160" w:line="256" w:lineRule="auto"/>
        <w:rPr>
          <w:rFonts w:eastAsia="Calibri" w:cs="Arial"/>
          <w:bCs/>
          <w:sz w:val="24"/>
          <w:szCs w:val="24"/>
        </w:rPr>
      </w:pPr>
      <w:r w:rsidRPr="00F27195">
        <w:rPr>
          <w:rFonts w:ascii="Arial" w:eastAsia="Calibri" w:hAnsi="Arial" w:cs="Arial"/>
          <w:bCs/>
          <w:szCs w:val="24"/>
        </w:rPr>
        <w:t>Indirizzo</w:t>
      </w:r>
      <w:r w:rsidR="009804B1">
        <w:rPr>
          <w:rFonts w:ascii="Arial" w:eastAsia="Calibri" w:hAnsi="Arial" w:cs="Arial"/>
          <w:bCs/>
          <w:szCs w:val="24"/>
        </w:rPr>
        <w:t xml:space="preserve"> </w:t>
      </w:r>
      <w:r>
        <w:rPr>
          <w:rFonts w:ascii="Arial" w:eastAsia="Calibri" w:hAnsi="Arial" w:cs="Arial"/>
          <w:bCs/>
          <w:szCs w:val="24"/>
        </w:rPr>
        <w:t>-</w:t>
      </w:r>
      <w:r w:rsidRPr="00F27195">
        <w:rPr>
          <w:rFonts w:ascii="Arial" w:eastAsia="Calibri" w:hAnsi="Arial" w:cs="Arial"/>
          <w:bCs/>
          <w:szCs w:val="24"/>
        </w:rPr>
        <w:t xml:space="preserve"> </w:t>
      </w:r>
      <w:r w:rsidRPr="00F27195">
        <w:rPr>
          <w:rFonts w:eastAsia="Calibri" w:cs="Arial"/>
          <w:bCs/>
          <w:sz w:val="24"/>
          <w:szCs w:val="24"/>
        </w:rPr>
        <w:t>Servizi per l’enogastronomia e l’ospitalità al</w:t>
      </w:r>
      <w:r w:rsidR="00024369">
        <w:rPr>
          <w:rFonts w:eastAsia="Calibri" w:cs="Arial"/>
          <w:bCs/>
          <w:sz w:val="24"/>
          <w:szCs w:val="24"/>
        </w:rPr>
        <w:t>berghiera</w:t>
      </w:r>
    </w:p>
    <w:p w:rsidR="00024369" w:rsidRPr="00F27195" w:rsidRDefault="00024369" w:rsidP="00F27195">
      <w:pPr>
        <w:spacing w:after="160" w:line="256" w:lineRule="auto"/>
        <w:rPr>
          <w:rFonts w:eastAsia="Calibri" w:cs="Arial"/>
          <w:bCs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>Tema di:</w:t>
      </w:r>
    </w:p>
    <w:p w:rsidR="00F27195" w:rsidRPr="00F27195" w:rsidRDefault="00737349" w:rsidP="00737349">
      <w:pPr>
        <w:spacing w:after="160" w:line="256" w:lineRule="auto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</w:rPr>
        <w:t xml:space="preserve">       IPEN - </w:t>
      </w:r>
      <w:r w:rsidR="00BB0569">
        <w:rPr>
          <w:rFonts w:eastAsia="Calibri" w:cs="Arial"/>
          <w:sz w:val="20"/>
          <w:szCs w:val="20"/>
        </w:rPr>
        <w:t>LABORATORIO</w:t>
      </w:r>
      <w:r w:rsidR="00F27195" w:rsidRPr="00F27195">
        <w:rPr>
          <w:rFonts w:eastAsia="Calibri" w:cs="Arial"/>
          <w:sz w:val="20"/>
          <w:szCs w:val="20"/>
        </w:rPr>
        <w:t xml:space="preserve"> DI SERVIZI </w:t>
      </w:r>
      <w:r w:rsidR="006F0A80">
        <w:rPr>
          <w:rFonts w:eastAsia="Calibri" w:cs="Arial"/>
          <w:sz w:val="20"/>
          <w:szCs w:val="20"/>
        </w:rPr>
        <w:t>ENOGASTRONOMICI – Articolazione Enogastronomia</w:t>
      </w:r>
    </w:p>
    <w:p w:rsidR="00F27195" w:rsidRPr="00F27195" w:rsidRDefault="00737349" w:rsidP="00737349">
      <w:pPr>
        <w:spacing w:after="160" w:line="256" w:lineRule="auto"/>
        <w:ind w:left="360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</w:rPr>
        <w:t>IP06 - L</w:t>
      </w:r>
      <w:r w:rsidR="00F27195" w:rsidRPr="00F27195">
        <w:rPr>
          <w:rFonts w:eastAsia="Calibri" w:cs="Arial"/>
          <w:sz w:val="20"/>
          <w:szCs w:val="20"/>
        </w:rPr>
        <w:t>ABORATORIO DI SERVIZI ENOGASTR</w:t>
      </w:r>
      <w:r w:rsidR="006F0A80">
        <w:rPr>
          <w:rFonts w:eastAsia="Calibri" w:cs="Arial"/>
          <w:sz w:val="20"/>
          <w:szCs w:val="20"/>
        </w:rPr>
        <w:t>ONOMICI – Articolazione Sala e vendita</w:t>
      </w:r>
    </w:p>
    <w:p w:rsidR="00F27195" w:rsidRPr="00F27195" w:rsidRDefault="00737349" w:rsidP="00737349">
      <w:pPr>
        <w:spacing w:after="160" w:line="256" w:lineRule="auto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</w:rPr>
        <w:t xml:space="preserve">       IP07 - </w:t>
      </w:r>
      <w:r w:rsidR="00F27195" w:rsidRPr="00F27195">
        <w:rPr>
          <w:rFonts w:eastAsia="Calibri" w:cs="Arial"/>
          <w:sz w:val="20"/>
          <w:szCs w:val="20"/>
        </w:rPr>
        <w:t>LABORATORIO DI SERVIZI DI ACCOGLIENZA TURISTICA</w:t>
      </w:r>
      <w:r w:rsidR="006F0A80">
        <w:rPr>
          <w:rFonts w:eastAsia="Calibri" w:cs="Arial"/>
          <w:sz w:val="20"/>
          <w:szCs w:val="20"/>
        </w:rPr>
        <w:t xml:space="preserve"> – Articolazione Accoglienza turistica</w:t>
      </w:r>
    </w:p>
    <w:p w:rsidR="00024369" w:rsidRPr="00BB0569" w:rsidRDefault="008B1069" w:rsidP="00737349">
      <w:pPr>
        <w:spacing w:after="160" w:line="256" w:lineRule="auto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</w:rPr>
        <w:t xml:space="preserve">       </w:t>
      </w:r>
      <w:r w:rsidR="00737349">
        <w:rPr>
          <w:rFonts w:eastAsia="Calibri" w:cs="Arial"/>
          <w:sz w:val="20"/>
          <w:szCs w:val="20"/>
        </w:rPr>
        <w:t xml:space="preserve">IPPD </w:t>
      </w:r>
      <w:r>
        <w:rPr>
          <w:rFonts w:eastAsia="Calibri" w:cs="Arial"/>
          <w:sz w:val="20"/>
          <w:szCs w:val="20"/>
        </w:rPr>
        <w:t xml:space="preserve">- </w:t>
      </w:r>
      <w:r w:rsidR="00F27195" w:rsidRPr="00F27195">
        <w:rPr>
          <w:rFonts w:eastAsia="Calibri" w:cs="Arial"/>
          <w:sz w:val="20"/>
          <w:szCs w:val="20"/>
        </w:rPr>
        <w:t>LABORATORIO DI SERVIZI ENOGA</w:t>
      </w:r>
      <w:r w:rsidR="003B4072">
        <w:rPr>
          <w:rFonts w:eastAsia="Calibri" w:cs="Arial"/>
          <w:sz w:val="20"/>
          <w:szCs w:val="20"/>
        </w:rPr>
        <w:t xml:space="preserve">STRONOMICI – </w:t>
      </w:r>
      <w:r w:rsidR="006F0A80">
        <w:rPr>
          <w:rFonts w:eastAsia="Calibri" w:cs="Arial"/>
          <w:sz w:val="20"/>
          <w:szCs w:val="20"/>
        </w:rPr>
        <w:t>Opzione Prodotti dolciari</w:t>
      </w:r>
    </w:p>
    <w:p w:rsidR="00BB0569" w:rsidRDefault="00215049" w:rsidP="00215049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b/>
          <w:sz w:val="24"/>
          <w:szCs w:val="24"/>
        </w:rPr>
      </w:pPr>
      <w:r w:rsidRPr="006D7A92">
        <w:rPr>
          <w:rFonts w:eastAsia="Arial Unicode MS" w:cs="Times New Roman"/>
          <w:b/>
          <w:sz w:val="24"/>
          <w:szCs w:val="24"/>
        </w:rPr>
        <w:t xml:space="preserve">  </w:t>
      </w:r>
    </w:p>
    <w:p w:rsidR="00BB0569" w:rsidRDefault="006D7A92" w:rsidP="00215049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b/>
          <w:sz w:val="24"/>
          <w:szCs w:val="24"/>
        </w:rPr>
      </w:pPr>
      <w:r w:rsidRPr="006D7A92">
        <w:rPr>
          <w:rFonts w:eastAsia="Arial Unicode MS" w:cs="Times New Roman"/>
          <w:b/>
          <w:sz w:val="24"/>
          <w:szCs w:val="24"/>
        </w:rPr>
        <w:t>- Istruzione Liceale</w:t>
      </w:r>
      <w:r>
        <w:rPr>
          <w:rFonts w:eastAsia="Arial Unicode MS" w:cs="Times New Roman"/>
          <w:b/>
          <w:sz w:val="24"/>
          <w:szCs w:val="24"/>
        </w:rPr>
        <w:t>:</w:t>
      </w:r>
      <w:r w:rsidR="00215049" w:rsidRPr="006D7A92">
        <w:rPr>
          <w:rFonts w:eastAsia="Arial Unicode MS" w:cs="Times New Roman"/>
          <w:b/>
          <w:sz w:val="24"/>
          <w:szCs w:val="24"/>
        </w:rPr>
        <w:t xml:space="preserve">   </w:t>
      </w:r>
    </w:p>
    <w:p w:rsidR="00215049" w:rsidRPr="006D7A92" w:rsidRDefault="00215049" w:rsidP="00215049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b/>
          <w:sz w:val="24"/>
          <w:szCs w:val="24"/>
        </w:rPr>
      </w:pPr>
      <w:r w:rsidRPr="006D7A92">
        <w:rPr>
          <w:rFonts w:eastAsia="Arial Unicode MS" w:cs="Times New Roman"/>
          <w:b/>
          <w:sz w:val="24"/>
          <w:szCs w:val="24"/>
        </w:rPr>
        <w:t xml:space="preserve">         </w:t>
      </w:r>
    </w:p>
    <w:p w:rsidR="00215049" w:rsidRDefault="006D7A92" w:rsidP="00215049">
      <w:pPr>
        <w:overflowPunct w:val="0"/>
        <w:autoSpaceDE w:val="0"/>
        <w:autoSpaceDN w:val="0"/>
        <w:adjustRightInd w:val="0"/>
        <w:spacing w:after="0" w:line="240" w:lineRule="auto"/>
        <w:ind w:right="113"/>
        <w:jc w:val="both"/>
        <w:textAlignment w:val="baseline"/>
        <w:outlineLvl w:val="0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</w:t>
      </w:r>
      <w:r w:rsidR="003B4072">
        <w:rPr>
          <w:rFonts w:eastAsia="Arial Unicode MS" w:cs="Times New Roman"/>
          <w:sz w:val="24"/>
          <w:szCs w:val="24"/>
        </w:rPr>
        <w:t xml:space="preserve">  Indirizzo  LI02/LI03</w:t>
      </w:r>
      <w:r w:rsidR="00215049">
        <w:rPr>
          <w:rFonts w:eastAsia="Arial Unicode MS" w:cs="Times New Roman"/>
          <w:sz w:val="24"/>
          <w:szCs w:val="24"/>
        </w:rPr>
        <w:t xml:space="preserve"> – Liceo Scientifico</w:t>
      </w:r>
      <w:r w:rsidR="00AB543E">
        <w:rPr>
          <w:rFonts w:eastAsia="Arial Unicode MS" w:cs="Times New Roman"/>
          <w:sz w:val="24"/>
          <w:szCs w:val="24"/>
        </w:rPr>
        <w:t>/LS S</w:t>
      </w:r>
      <w:r w:rsidR="002C7C3D">
        <w:rPr>
          <w:rFonts w:eastAsia="Arial Unicode MS" w:cs="Times New Roman"/>
          <w:sz w:val="24"/>
          <w:szCs w:val="24"/>
        </w:rPr>
        <w:t>cienze applicate</w:t>
      </w:r>
    </w:p>
    <w:p w:rsidR="00456CF0" w:rsidRDefault="001F5F17" w:rsidP="00456CF0">
      <w:pPr>
        <w:spacing w:after="0" w:line="360" w:lineRule="atLeast"/>
        <w:jc w:val="both"/>
        <w:rPr>
          <w:rFonts w:eastAsia="Arial Unicode MS" w:cs="Times New Roman"/>
          <w:sz w:val="24"/>
          <w:szCs w:val="24"/>
        </w:rPr>
      </w:pPr>
      <w:r>
        <w:rPr>
          <w:rFonts w:eastAsia="Arial Unicode MS" w:cs="Times New Roman"/>
          <w:sz w:val="24"/>
          <w:szCs w:val="24"/>
        </w:rPr>
        <w:t xml:space="preserve">                Tema di Fisica</w:t>
      </w:r>
    </w:p>
    <w:p w:rsidR="0037571E" w:rsidRDefault="00215049" w:rsidP="003D2906">
      <w:pPr>
        <w:spacing w:after="0" w:line="360" w:lineRule="atLeast"/>
        <w:jc w:val="both"/>
      </w:pPr>
      <w:r>
        <w:rPr>
          <w:rFonts w:eastAsia="Arial Unicode MS" w:cs="Times New Roman"/>
          <w:sz w:val="24"/>
          <w:szCs w:val="24"/>
        </w:rPr>
        <w:t xml:space="preserve">                n. 1 tema.</w:t>
      </w:r>
      <w:r w:rsidR="00D64969">
        <w:t xml:space="preserve"> </w:t>
      </w:r>
      <w:r w:rsidR="001F6A35">
        <w:t xml:space="preserve">  </w:t>
      </w:r>
    </w:p>
    <w:p w:rsidR="009804B1" w:rsidRDefault="001F5F17" w:rsidP="0037571E">
      <w:pPr>
        <w:spacing w:after="0" w:line="360" w:lineRule="atLeast"/>
        <w:jc w:val="both"/>
      </w:pPr>
      <w:r>
        <w:rPr>
          <w:sz w:val="24"/>
          <w:szCs w:val="24"/>
        </w:rPr>
        <w:t>Al</w:t>
      </w:r>
      <w:r w:rsidR="0037571E" w:rsidRPr="0037571E">
        <w:rPr>
          <w:sz w:val="24"/>
          <w:szCs w:val="24"/>
        </w:rPr>
        <w:t xml:space="preserve"> tema</w:t>
      </w:r>
      <w:r w:rsidR="004563E9">
        <w:rPr>
          <w:sz w:val="24"/>
          <w:szCs w:val="24"/>
        </w:rPr>
        <w:t xml:space="preserve"> di Fisica</w:t>
      </w:r>
      <w:r>
        <w:rPr>
          <w:sz w:val="24"/>
          <w:szCs w:val="24"/>
        </w:rPr>
        <w:t xml:space="preserve"> è allegata</w:t>
      </w:r>
      <w:r w:rsidR="00BB0569">
        <w:rPr>
          <w:sz w:val="24"/>
          <w:szCs w:val="24"/>
        </w:rPr>
        <w:t xml:space="preserve"> altresì</w:t>
      </w:r>
      <w:r w:rsidR="0037571E" w:rsidRPr="003757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 tabella delle costanti fisiche nonché </w:t>
      </w:r>
      <w:r w:rsidR="0037571E" w:rsidRPr="0037571E">
        <w:rPr>
          <w:sz w:val="24"/>
          <w:szCs w:val="24"/>
        </w:rPr>
        <w:t>un documento di valutazione dei problemi (Sez.A) e dei quesiti (Sez.B)</w:t>
      </w:r>
      <w:r w:rsidR="00BB0569">
        <w:rPr>
          <w:sz w:val="24"/>
          <w:szCs w:val="24"/>
        </w:rPr>
        <w:t xml:space="preserve"> che le Scuole possono</w:t>
      </w:r>
      <w:r w:rsidR="0037571E" w:rsidRPr="0037571E">
        <w:rPr>
          <w:sz w:val="24"/>
          <w:szCs w:val="24"/>
        </w:rPr>
        <w:t xml:space="preserve"> eventualmente ut</w:t>
      </w:r>
      <w:r w:rsidR="00BB0569">
        <w:rPr>
          <w:sz w:val="24"/>
          <w:szCs w:val="24"/>
        </w:rPr>
        <w:t>ilizzare</w:t>
      </w:r>
      <w:r w:rsidR="0037571E" w:rsidRPr="0037571E">
        <w:rPr>
          <w:sz w:val="24"/>
          <w:szCs w:val="24"/>
        </w:rPr>
        <w:t>.</w:t>
      </w:r>
      <w:r w:rsidR="001F6A35">
        <w:t xml:space="preserve"> </w:t>
      </w:r>
    </w:p>
    <w:p w:rsidR="003B4072" w:rsidRDefault="003B4072" w:rsidP="0037571E">
      <w:pPr>
        <w:spacing w:after="0" w:line="360" w:lineRule="atLeast"/>
        <w:jc w:val="both"/>
      </w:pPr>
    </w:p>
    <w:p w:rsidR="003B4072" w:rsidRPr="006F0A80" w:rsidRDefault="003B4072" w:rsidP="0037571E">
      <w:pPr>
        <w:spacing w:after="0" w:line="360" w:lineRule="atLeast"/>
        <w:jc w:val="both"/>
        <w:rPr>
          <w:sz w:val="24"/>
          <w:szCs w:val="24"/>
        </w:rPr>
      </w:pPr>
      <w:r w:rsidRPr="006F0A80">
        <w:rPr>
          <w:sz w:val="24"/>
          <w:szCs w:val="24"/>
        </w:rPr>
        <w:t>Si ricorda infine che su</w:t>
      </w:r>
      <w:r w:rsidR="006F0A80">
        <w:rPr>
          <w:sz w:val="24"/>
          <w:szCs w:val="24"/>
        </w:rPr>
        <w:t>l</w:t>
      </w:r>
      <w:r w:rsidRPr="006F0A80">
        <w:rPr>
          <w:sz w:val="24"/>
          <w:szCs w:val="24"/>
        </w:rPr>
        <w:t xml:space="preserve"> sito istituzionale del MIUR/Istruzione/Esame di Stato è continuamente agg</w:t>
      </w:r>
      <w:r w:rsidR="006F0A80">
        <w:rPr>
          <w:sz w:val="24"/>
          <w:szCs w:val="24"/>
        </w:rPr>
        <w:t>iornata la pubblicazione delle prime e seconde</w:t>
      </w:r>
      <w:r w:rsidRPr="006F0A80">
        <w:rPr>
          <w:sz w:val="24"/>
          <w:szCs w:val="24"/>
        </w:rPr>
        <w:t xml:space="preserve"> prove scritte oggetto dell’esame di Stat</w:t>
      </w:r>
      <w:r w:rsidR="006F0A80">
        <w:rPr>
          <w:sz w:val="24"/>
          <w:szCs w:val="24"/>
        </w:rPr>
        <w:t>o del II</w:t>
      </w:r>
      <w:r w:rsidRPr="006F0A80">
        <w:rPr>
          <w:sz w:val="24"/>
          <w:szCs w:val="24"/>
        </w:rPr>
        <w:t xml:space="preserve"> Ciclo sia nella sessione ordinaria che in quelle suppletiva e straordinaria.</w:t>
      </w:r>
    </w:p>
    <w:p w:rsidR="00215049" w:rsidRPr="0037571E" w:rsidRDefault="001F6A35" w:rsidP="0037571E">
      <w:pPr>
        <w:spacing w:after="0" w:line="360" w:lineRule="atLeast"/>
        <w:jc w:val="both"/>
        <w:rPr>
          <w:rFonts w:eastAsia="Arial Unicode MS" w:cs="Times New Roman"/>
          <w:sz w:val="24"/>
          <w:szCs w:val="24"/>
        </w:rPr>
      </w:pPr>
      <w:r>
        <w:t xml:space="preserve"> </w:t>
      </w:r>
    </w:p>
    <w:p w:rsidR="00215049" w:rsidRDefault="00215049" w:rsidP="00686F63">
      <w:pPr>
        <w:spacing w:after="0" w:line="240" w:lineRule="auto"/>
        <w:outlineLvl w:val="0"/>
      </w:pPr>
    </w:p>
    <w:p w:rsidR="00BB0569" w:rsidRDefault="00215049" w:rsidP="00686F63">
      <w:pPr>
        <w:spacing w:after="0" w:line="240" w:lineRule="auto"/>
        <w:outlineLvl w:val="0"/>
        <w:rPr>
          <w:rFonts w:ascii="Arial Narrow" w:eastAsia="Times New Roman" w:hAnsi="Arial Narrow" w:cs="Times New Roman"/>
        </w:rPr>
      </w:pPr>
      <w:r>
        <w:t xml:space="preserve">        </w:t>
      </w:r>
      <w:r w:rsidR="001F6A35">
        <w:t xml:space="preserve">                 </w:t>
      </w:r>
      <w:r w:rsidR="00ED3BD4" w:rsidRPr="00ED3BD4">
        <w:rPr>
          <w:rFonts w:ascii="Arial Narrow" w:eastAsia="Times New Roman" w:hAnsi="Arial Narrow" w:cs="Times New Roman"/>
        </w:rPr>
        <w:t xml:space="preserve">           </w:t>
      </w:r>
    </w:p>
    <w:p w:rsidR="00ED3BD4" w:rsidRPr="00ED3BD4" w:rsidRDefault="00BB0569" w:rsidP="00686F63">
      <w:pPr>
        <w:spacing w:after="0" w:line="240" w:lineRule="auto"/>
        <w:outlineLvl w:val="0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                                </w:t>
      </w:r>
      <w:r w:rsidR="00ED3BD4" w:rsidRPr="00ED3BD4">
        <w:rPr>
          <w:rFonts w:ascii="Arial Narrow" w:eastAsia="Times New Roman" w:hAnsi="Arial Narrow" w:cs="Times New Roman"/>
        </w:rPr>
        <w:t xml:space="preserve">                                                    </w:t>
      </w:r>
      <w:r w:rsidR="00ED3BD4">
        <w:rPr>
          <w:rFonts w:ascii="Arial Narrow" w:eastAsia="Times New Roman" w:hAnsi="Arial Narrow" w:cs="Times New Roman"/>
        </w:rPr>
        <w:t xml:space="preserve">                          </w:t>
      </w:r>
      <w:r w:rsidR="00ED3BD4" w:rsidRPr="00ED3BD4">
        <w:rPr>
          <w:rFonts w:ascii="Arial Narrow" w:eastAsia="Times New Roman" w:hAnsi="Arial Narrow" w:cs="Times New Roman"/>
        </w:rPr>
        <w:t>IL COORDINATORE</w:t>
      </w:r>
    </w:p>
    <w:p w:rsidR="00ED3BD4" w:rsidRDefault="00A664D4" w:rsidP="00686F63">
      <w:pPr>
        <w:spacing w:after="0" w:line="240" w:lineRule="auto"/>
        <w:outlineLvl w:val="0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  <w:t xml:space="preserve">   </w:t>
      </w:r>
      <w:bookmarkStart w:id="0" w:name="_GoBack"/>
      <w:bookmarkEnd w:id="0"/>
      <w:r w:rsidR="00A60FD2">
        <w:rPr>
          <w:rFonts w:ascii="Arial Narrow" w:eastAsia="Times New Roman" w:hAnsi="Arial Narrow" w:cs="Times New Roman"/>
        </w:rPr>
        <w:t xml:space="preserve">   </w:t>
      </w:r>
      <w:r>
        <w:rPr>
          <w:rFonts w:ascii="Arial Narrow" w:eastAsia="Times New Roman" w:hAnsi="Arial Narrow" w:cs="Times New Roman"/>
        </w:rPr>
        <w:t xml:space="preserve">F.to </w:t>
      </w:r>
      <w:r w:rsidR="00A60FD2">
        <w:rPr>
          <w:rFonts w:ascii="Arial Narrow" w:eastAsia="Times New Roman" w:hAnsi="Arial Narrow" w:cs="Times New Roman"/>
        </w:rPr>
        <w:t xml:space="preserve"> Francesco BRANCA</w:t>
      </w:r>
    </w:p>
    <w:p w:rsidR="00A60FD2" w:rsidRDefault="00DF06DB" w:rsidP="00A60FD2">
      <w:pPr>
        <w:spacing w:after="0" w:line="240" w:lineRule="auto"/>
        <w:outlineLvl w:val="0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                                                                                                              </w:t>
      </w:r>
    </w:p>
    <w:sectPr w:rsidR="00A60FD2" w:rsidSect="00381C81">
      <w:footerReference w:type="default" r:id="rId10"/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CCF" w:rsidRDefault="00EA3CCF" w:rsidP="00A60FD2">
      <w:pPr>
        <w:spacing w:after="0" w:line="240" w:lineRule="auto"/>
      </w:pPr>
      <w:r>
        <w:separator/>
      </w:r>
    </w:p>
  </w:endnote>
  <w:endnote w:type="continuationSeparator" w:id="0">
    <w:p w:rsidR="00EA3CCF" w:rsidRDefault="00EA3CCF" w:rsidP="00A60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03214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87956" w:rsidRPr="00887956" w:rsidRDefault="00887956">
        <w:pPr>
          <w:pStyle w:val="Pidipagina"/>
          <w:jc w:val="center"/>
          <w:rPr>
            <w:sz w:val="20"/>
          </w:rPr>
        </w:pPr>
        <w:r w:rsidRPr="00887956">
          <w:rPr>
            <w:sz w:val="20"/>
          </w:rPr>
          <w:fldChar w:fldCharType="begin"/>
        </w:r>
        <w:r w:rsidRPr="00887956">
          <w:rPr>
            <w:sz w:val="20"/>
          </w:rPr>
          <w:instrText>PAGE   \* MERGEFORMAT</w:instrText>
        </w:r>
        <w:r w:rsidRPr="00887956">
          <w:rPr>
            <w:sz w:val="20"/>
          </w:rPr>
          <w:fldChar w:fldCharType="separate"/>
        </w:r>
        <w:r w:rsidR="00EA3CCF">
          <w:rPr>
            <w:noProof/>
            <w:sz w:val="20"/>
          </w:rPr>
          <w:t>1</w:t>
        </w:r>
        <w:r w:rsidRPr="00887956">
          <w:rPr>
            <w:sz w:val="20"/>
          </w:rPr>
          <w:fldChar w:fldCharType="end"/>
        </w:r>
      </w:p>
    </w:sdtContent>
  </w:sdt>
  <w:p w:rsidR="00887956" w:rsidRDefault="0088795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CCF" w:rsidRDefault="00EA3CCF" w:rsidP="00A60FD2">
      <w:pPr>
        <w:spacing w:after="0" w:line="240" w:lineRule="auto"/>
      </w:pPr>
      <w:r>
        <w:separator/>
      </w:r>
    </w:p>
  </w:footnote>
  <w:footnote w:type="continuationSeparator" w:id="0">
    <w:p w:rsidR="00EA3CCF" w:rsidRDefault="00EA3CCF" w:rsidP="00A60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12016"/>
    <w:multiLevelType w:val="hybridMultilevel"/>
    <w:tmpl w:val="2C2CEE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C621F"/>
    <w:multiLevelType w:val="hybridMultilevel"/>
    <w:tmpl w:val="2E305826"/>
    <w:lvl w:ilvl="0" w:tplc="F6722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2537D"/>
    <w:multiLevelType w:val="hybridMultilevel"/>
    <w:tmpl w:val="4AE464AA"/>
    <w:lvl w:ilvl="0" w:tplc="F6722E58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788B458E"/>
    <w:multiLevelType w:val="hybridMultilevel"/>
    <w:tmpl w:val="3564A5C4"/>
    <w:lvl w:ilvl="0" w:tplc="F6722E58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4DF"/>
    <w:rsid w:val="000057CC"/>
    <w:rsid w:val="00024369"/>
    <w:rsid w:val="00062E8A"/>
    <w:rsid w:val="000B0B1F"/>
    <w:rsid w:val="000B1DBF"/>
    <w:rsid w:val="000B73CB"/>
    <w:rsid w:val="000F2D3B"/>
    <w:rsid w:val="00122444"/>
    <w:rsid w:val="00162D9B"/>
    <w:rsid w:val="001764AE"/>
    <w:rsid w:val="001A0E9B"/>
    <w:rsid w:val="001C2D9E"/>
    <w:rsid w:val="001C352B"/>
    <w:rsid w:val="001F5F17"/>
    <w:rsid w:val="001F6A35"/>
    <w:rsid w:val="00212935"/>
    <w:rsid w:val="00212E52"/>
    <w:rsid w:val="00215049"/>
    <w:rsid w:val="00277062"/>
    <w:rsid w:val="0028661A"/>
    <w:rsid w:val="002C7C3D"/>
    <w:rsid w:val="002E6914"/>
    <w:rsid w:val="002F6C07"/>
    <w:rsid w:val="003061AC"/>
    <w:rsid w:val="0032711F"/>
    <w:rsid w:val="00336CD1"/>
    <w:rsid w:val="00347E05"/>
    <w:rsid w:val="0037571E"/>
    <w:rsid w:val="00381C81"/>
    <w:rsid w:val="003A1B68"/>
    <w:rsid w:val="003A5D14"/>
    <w:rsid w:val="003B36F2"/>
    <w:rsid w:val="003B4072"/>
    <w:rsid w:val="003C5B9D"/>
    <w:rsid w:val="003D2906"/>
    <w:rsid w:val="003D7998"/>
    <w:rsid w:val="003F7F0E"/>
    <w:rsid w:val="00404476"/>
    <w:rsid w:val="00450848"/>
    <w:rsid w:val="004563E9"/>
    <w:rsid w:val="00456CF0"/>
    <w:rsid w:val="004711CF"/>
    <w:rsid w:val="00484EFC"/>
    <w:rsid w:val="004B6A4D"/>
    <w:rsid w:val="004E71FB"/>
    <w:rsid w:val="005228C7"/>
    <w:rsid w:val="0054248F"/>
    <w:rsid w:val="00570FEF"/>
    <w:rsid w:val="005719BD"/>
    <w:rsid w:val="00573664"/>
    <w:rsid w:val="00590295"/>
    <w:rsid w:val="00590F95"/>
    <w:rsid w:val="005B65DB"/>
    <w:rsid w:val="005E0964"/>
    <w:rsid w:val="005F4801"/>
    <w:rsid w:val="006526D9"/>
    <w:rsid w:val="00686F63"/>
    <w:rsid w:val="0069047C"/>
    <w:rsid w:val="0069330D"/>
    <w:rsid w:val="006D34BC"/>
    <w:rsid w:val="006D53A0"/>
    <w:rsid w:val="006D7A92"/>
    <w:rsid w:val="006F0A80"/>
    <w:rsid w:val="00711198"/>
    <w:rsid w:val="00716C91"/>
    <w:rsid w:val="00737349"/>
    <w:rsid w:val="00747EB6"/>
    <w:rsid w:val="007D7461"/>
    <w:rsid w:val="007F12BD"/>
    <w:rsid w:val="00820D12"/>
    <w:rsid w:val="00826E22"/>
    <w:rsid w:val="00864FE2"/>
    <w:rsid w:val="00873E53"/>
    <w:rsid w:val="008814DF"/>
    <w:rsid w:val="00884C6E"/>
    <w:rsid w:val="00887956"/>
    <w:rsid w:val="008B1069"/>
    <w:rsid w:val="008B3884"/>
    <w:rsid w:val="008D254A"/>
    <w:rsid w:val="008E637C"/>
    <w:rsid w:val="009417AD"/>
    <w:rsid w:val="009804B1"/>
    <w:rsid w:val="00980613"/>
    <w:rsid w:val="009A4F10"/>
    <w:rsid w:val="009D27F5"/>
    <w:rsid w:val="009F6F4C"/>
    <w:rsid w:val="00A12BD5"/>
    <w:rsid w:val="00A42861"/>
    <w:rsid w:val="00A51E25"/>
    <w:rsid w:val="00A60FD2"/>
    <w:rsid w:val="00A617C0"/>
    <w:rsid w:val="00A664D4"/>
    <w:rsid w:val="00AB543E"/>
    <w:rsid w:val="00AE408C"/>
    <w:rsid w:val="00AF31B9"/>
    <w:rsid w:val="00B20A3D"/>
    <w:rsid w:val="00B21130"/>
    <w:rsid w:val="00B42A22"/>
    <w:rsid w:val="00B5038A"/>
    <w:rsid w:val="00B605AC"/>
    <w:rsid w:val="00B77CB8"/>
    <w:rsid w:val="00BA7C7C"/>
    <w:rsid w:val="00BB0569"/>
    <w:rsid w:val="00BE2CBE"/>
    <w:rsid w:val="00C06291"/>
    <w:rsid w:val="00C5043C"/>
    <w:rsid w:val="00C77850"/>
    <w:rsid w:val="00CC7848"/>
    <w:rsid w:val="00CF7AA7"/>
    <w:rsid w:val="00D16B8D"/>
    <w:rsid w:val="00D26D10"/>
    <w:rsid w:val="00D3266D"/>
    <w:rsid w:val="00D64969"/>
    <w:rsid w:val="00DA5F0B"/>
    <w:rsid w:val="00DD7E78"/>
    <w:rsid w:val="00DE46FF"/>
    <w:rsid w:val="00DF06DB"/>
    <w:rsid w:val="00E035CC"/>
    <w:rsid w:val="00E264FB"/>
    <w:rsid w:val="00E35B79"/>
    <w:rsid w:val="00E4287D"/>
    <w:rsid w:val="00E8020F"/>
    <w:rsid w:val="00E938D9"/>
    <w:rsid w:val="00EA3CCF"/>
    <w:rsid w:val="00EA4775"/>
    <w:rsid w:val="00ED3BD4"/>
    <w:rsid w:val="00EE4D44"/>
    <w:rsid w:val="00EF3870"/>
    <w:rsid w:val="00F208FD"/>
    <w:rsid w:val="00F27195"/>
    <w:rsid w:val="00F66255"/>
    <w:rsid w:val="00FC223E"/>
    <w:rsid w:val="00FD11D9"/>
    <w:rsid w:val="00FE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4DF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11D9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FD2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FD2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48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4DF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11D9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FD2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FD2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48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14519-0931-4364-92BF-73A412C6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21</vt:i4>
      </vt:variant>
    </vt:vector>
  </HeadingPairs>
  <TitlesOfParts>
    <vt:vector size="22" baseType="lpstr">
      <vt:lpstr/>
      <vt:lpstr/>
      <vt:lpstr/>
      <vt:lpstr/>
      <vt:lpstr>Per come già anticipato nella nota dello scrivente del 30 novembre 2016, prosegu</vt:lpstr>
      <vt:lpstr>Si ribadisce ulteriormente che l’obiettivo di accompagnamento prescinde dalle ma</vt:lpstr>
      <vt:lpstr/>
      <vt:lpstr>Per gli Istituti Professionali, nelle Linee Guida per il passaggio al Nuovo Ordi</vt:lpstr>
      <vt:lpstr>E’ rispetto ai risultati di apprendimento e alle competenze che il laboratorio “</vt:lpstr>
      <vt:lpstr/>
      <vt:lpstr/>
      <vt:lpstr>I nuovi esempi di seconda prova  scritta riguardano:</vt:lpstr>
      <vt:lpstr/>
      <vt:lpstr/>
      <vt:lpstr>- Istruzione Liceale:   </vt:lpstr>
      <vt:lpstr/>
      <vt:lpstr>Indirizzo  LI02/LI03 – Liceo Scientifico/LS Scienze applicate</vt:lpstr>
      <vt:lpstr/>
      <vt:lpstr/>
      <vt:lpstr/>
      <vt:lpstr>F.to  Francesco BRANCA</vt:lpstr>
      <vt:lpstr/>
    </vt:vector>
  </TitlesOfParts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2</cp:revision>
  <cp:lastPrinted>2016-12-02T11:46:00Z</cp:lastPrinted>
  <dcterms:created xsi:type="dcterms:W3CDTF">2017-01-12T12:47:00Z</dcterms:created>
  <dcterms:modified xsi:type="dcterms:W3CDTF">2017-01-12T12:47:00Z</dcterms:modified>
</cp:coreProperties>
</file>